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28B351D"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980960">
        <w:rPr>
          <w:bCs/>
          <w:noProof w:val="0"/>
          <w:sz w:val="24"/>
          <w:szCs w:val="24"/>
        </w:rPr>
        <w:t>3</w:t>
      </w:r>
      <w:r w:rsidRPr="003A41EF">
        <w:rPr>
          <w:bCs/>
          <w:noProof w:val="0"/>
          <w:sz w:val="24"/>
          <w:szCs w:val="24"/>
        </w:rPr>
        <w:t xml:space="preserve"> Meeting </w:t>
      </w:r>
      <w:r>
        <w:rPr>
          <w:bCs/>
          <w:noProof w:val="0"/>
          <w:sz w:val="24"/>
          <w:szCs w:val="24"/>
        </w:rPr>
        <w:t>#10</w:t>
      </w:r>
      <w:r w:rsidR="00980960">
        <w:rPr>
          <w:bCs/>
          <w:noProof w:val="0"/>
          <w:sz w:val="24"/>
          <w:szCs w:val="24"/>
        </w:rPr>
        <w:t>5bis</w:t>
      </w:r>
      <w:r w:rsidRPr="00B266B0">
        <w:rPr>
          <w:bCs/>
          <w:noProof w:val="0"/>
          <w:sz w:val="24"/>
          <w:szCs w:val="24"/>
        </w:rPr>
        <w:tab/>
      </w:r>
      <w:r w:rsidRPr="00B266B0">
        <w:rPr>
          <w:rFonts w:hint="eastAsia"/>
          <w:bCs/>
          <w:noProof w:val="0"/>
          <w:sz w:val="24"/>
          <w:szCs w:val="24"/>
        </w:rPr>
        <w:t>R</w:t>
      </w:r>
      <w:r w:rsidR="00980960">
        <w:rPr>
          <w:bCs/>
          <w:noProof w:val="0"/>
          <w:sz w:val="24"/>
          <w:szCs w:val="24"/>
        </w:rPr>
        <w:t>3</w:t>
      </w:r>
      <w:r w:rsidRPr="00B266B0">
        <w:rPr>
          <w:rFonts w:hint="eastAsia"/>
          <w:bCs/>
          <w:noProof w:val="0"/>
          <w:sz w:val="24"/>
          <w:szCs w:val="24"/>
        </w:rPr>
        <w:t>-</w:t>
      </w:r>
      <w:r w:rsidRPr="00B266B0">
        <w:rPr>
          <w:bCs/>
          <w:noProof w:val="0"/>
          <w:sz w:val="24"/>
          <w:szCs w:val="24"/>
        </w:rPr>
        <w:t>1</w:t>
      </w:r>
      <w:r>
        <w:rPr>
          <w:bCs/>
          <w:noProof w:val="0"/>
          <w:sz w:val="24"/>
          <w:szCs w:val="24"/>
        </w:rPr>
        <w:t>9</w:t>
      </w:r>
      <w:r w:rsidR="00E30DF1">
        <w:rPr>
          <w:bCs/>
          <w:noProof w:val="0"/>
          <w:sz w:val="24"/>
          <w:szCs w:val="24"/>
        </w:rPr>
        <w:t>5983</w:t>
      </w:r>
    </w:p>
    <w:p w14:paraId="11776FA6" w14:textId="5BB732A5" w:rsidR="00A209D6" w:rsidRPr="00465587" w:rsidRDefault="00980960" w:rsidP="00A209D6">
      <w:pPr>
        <w:pStyle w:val="Header"/>
        <w:tabs>
          <w:tab w:val="right" w:pos="9639"/>
        </w:tabs>
        <w:rPr>
          <w:rFonts w:eastAsia="SimSun"/>
          <w:bCs/>
          <w:sz w:val="24"/>
          <w:szCs w:val="24"/>
          <w:lang w:eastAsia="zh-CN"/>
        </w:rPr>
      </w:pPr>
      <w:r w:rsidRPr="00980960">
        <w:rPr>
          <w:rFonts w:eastAsia="SimSun"/>
          <w:bCs/>
          <w:sz w:val="24"/>
          <w:szCs w:val="24"/>
          <w:lang w:eastAsia="zh-CN"/>
        </w:rPr>
        <w:t>Chongqing, C</w:t>
      </w:r>
      <w:r w:rsidR="00E30DF1">
        <w:rPr>
          <w:rFonts w:eastAsia="SimSun"/>
          <w:bCs/>
          <w:sz w:val="24"/>
          <w:szCs w:val="24"/>
          <w:lang w:eastAsia="zh-CN"/>
        </w:rPr>
        <w:t>hina</w:t>
      </w:r>
      <w:r w:rsidR="00F036E9" w:rsidRPr="00F036E9">
        <w:rPr>
          <w:rFonts w:eastAsia="SimSun"/>
          <w:bCs/>
          <w:sz w:val="24"/>
          <w:szCs w:val="24"/>
          <w:lang w:eastAsia="zh-CN"/>
        </w:rPr>
        <w:t xml:space="preserve">, </w:t>
      </w:r>
      <w:r>
        <w:rPr>
          <w:rFonts w:eastAsia="SimSun"/>
          <w:bCs/>
          <w:sz w:val="24"/>
          <w:szCs w:val="24"/>
          <w:lang w:eastAsia="zh-CN"/>
        </w:rPr>
        <w:t>14</w:t>
      </w:r>
      <w:r w:rsidR="00F036E9" w:rsidRPr="00F036E9">
        <w:rPr>
          <w:rFonts w:eastAsia="SimSun"/>
          <w:bCs/>
          <w:sz w:val="24"/>
          <w:szCs w:val="24"/>
          <w:lang w:eastAsia="zh-CN"/>
        </w:rPr>
        <w:t xml:space="preserve"> </w:t>
      </w:r>
      <w:r w:rsidR="00E30DF1">
        <w:rPr>
          <w:rFonts w:eastAsia="SimSun"/>
          <w:bCs/>
          <w:sz w:val="24"/>
          <w:szCs w:val="24"/>
          <w:lang w:eastAsia="zh-CN"/>
        </w:rPr>
        <w:t>-</w:t>
      </w:r>
      <w:r w:rsidR="00F036E9" w:rsidRPr="00F036E9">
        <w:rPr>
          <w:rFonts w:eastAsia="SimSun"/>
          <w:bCs/>
          <w:sz w:val="24"/>
          <w:szCs w:val="24"/>
          <w:lang w:eastAsia="zh-CN"/>
        </w:rPr>
        <w:t xml:space="preserve"> </w:t>
      </w:r>
      <w:r>
        <w:rPr>
          <w:rFonts w:eastAsia="SimSun"/>
          <w:bCs/>
          <w:sz w:val="24"/>
          <w:szCs w:val="24"/>
          <w:lang w:eastAsia="zh-CN"/>
        </w:rPr>
        <w:t>18</w:t>
      </w:r>
      <w:r w:rsidR="00F036E9" w:rsidRPr="00F036E9">
        <w:rPr>
          <w:rFonts w:eastAsia="SimSun"/>
          <w:bCs/>
          <w:sz w:val="24"/>
          <w:szCs w:val="24"/>
          <w:lang w:eastAsia="zh-CN"/>
        </w:rPr>
        <w:t xml:space="preserve"> </w:t>
      </w:r>
      <w:r>
        <w:rPr>
          <w:rFonts w:eastAsia="SimSun"/>
          <w:bCs/>
          <w:sz w:val="24"/>
          <w:szCs w:val="24"/>
          <w:lang w:eastAsia="zh-CN"/>
        </w:rPr>
        <w:t>October</w:t>
      </w:r>
      <w:r w:rsidR="00F036E9" w:rsidRPr="00F036E9">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99E5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0DF1">
        <w:rPr>
          <w:rFonts w:cs="Arial"/>
          <w:b/>
          <w:bCs/>
          <w:sz w:val="24"/>
          <w:lang w:eastAsia="ja-JP"/>
        </w:rPr>
        <w:t>10.2.2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A71AE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30DF1" w:rsidRPr="00E30DF1">
        <w:rPr>
          <w:rFonts w:ascii="Arial" w:hAnsi="Arial" w:cs="Arial"/>
          <w:b/>
          <w:bCs/>
          <w:sz w:val="24"/>
        </w:rPr>
        <w:t>Reporting of spatial load distribution of cells</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2336CA1" w:rsidR="007F2E08" w:rsidRPr="006E13D1" w:rsidRDefault="00B63A68" w:rsidP="00980960">
      <w:r>
        <w:t>Both the data collection and utilization TR [1] and the WI suggest exchang</w:t>
      </w:r>
      <w:r w:rsidR="00EA5C62">
        <w:t>ing</w:t>
      </w:r>
      <w:r>
        <w:t xml:space="preserve"> load related information on beam level</w:t>
      </w:r>
      <w:r w:rsidR="00EA5C62">
        <w:t xml:space="preserve">. </w:t>
      </w:r>
      <w:r>
        <w:t xml:space="preserve">In this contribution we present our understanding of beam level </w:t>
      </w:r>
      <w:r w:rsidR="00446358">
        <w:t>measurements and</w:t>
      </w:r>
      <w:r>
        <w:t xml:space="preserve"> </w:t>
      </w:r>
      <w:r w:rsidR="00EA5C62">
        <w:t>discus</w:t>
      </w:r>
      <w:r w:rsidR="00446358">
        <w:t>s</w:t>
      </w:r>
      <w:r w:rsidR="00EA5C62">
        <w:t xml:space="preserve"> </w:t>
      </w:r>
      <w:r w:rsidR="00446358">
        <w:t>possible solutions</w:t>
      </w:r>
      <w:r>
        <w:t>.</w:t>
      </w:r>
      <w:r w:rsidR="00A209D6">
        <w:t xml:space="preserve"> </w:t>
      </w:r>
    </w:p>
    <w:p w14:paraId="2BBFF540" w14:textId="484B3C8C" w:rsidR="00A209D6" w:rsidRPr="006E13D1" w:rsidRDefault="00A209D6" w:rsidP="00A209D6">
      <w:pPr>
        <w:pStyle w:val="Heading1"/>
      </w:pPr>
      <w:r w:rsidRPr="006E13D1">
        <w:t>2</w:t>
      </w:r>
      <w:r w:rsidRPr="006E13D1">
        <w:tab/>
      </w:r>
      <w:r w:rsidR="00911001">
        <w:t>Discussion</w:t>
      </w:r>
    </w:p>
    <w:p w14:paraId="046C8A50" w14:textId="5057FE0F" w:rsidR="006E4AD9" w:rsidRDefault="006E4AD9" w:rsidP="00756DF5">
      <w:pPr>
        <w:pStyle w:val="Heading2"/>
      </w:pPr>
      <w:r>
        <w:t>2.1</w:t>
      </w:r>
      <w:r>
        <w:tab/>
        <w:t>SSB Load Reporting</w:t>
      </w:r>
    </w:p>
    <w:p w14:paraId="0A6C57D4" w14:textId="37ACBA4D" w:rsidR="00D378A5" w:rsidRDefault="00AB1C38" w:rsidP="00A209D6">
      <w:r>
        <w:t xml:space="preserve">The </w:t>
      </w:r>
      <w:r w:rsidR="009E583F">
        <w:t xml:space="preserve">TR [1] </w:t>
      </w:r>
      <w:r>
        <w:t xml:space="preserve">suggests beam level reporting over X2, </w:t>
      </w:r>
      <w:proofErr w:type="spellStart"/>
      <w:r>
        <w:t>Xn</w:t>
      </w:r>
      <w:proofErr w:type="spellEnd"/>
      <w:r>
        <w:t xml:space="preserve"> and F1 interfaces</w:t>
      </w:r>
      <w:r w:rsidR="005E5F42">
        <w:t xml:space="preserve">, i.e. </w:t>
      </w:r>
      <w:r>
        <w:t xml:space="preserve">to transfer load related information </w:t>
      </w:r>
      <w:r w:rsidR="005E5F42">
        <w:t>per SSBs or SSB beam</w:t>
      </w:r>
      <w:r w:rsidR="006E4AD9">
        <w:t xml:space="preserve"> / index</w:t>
      </w:r>
      <w:r>
        <w:t>. The purpose of this to achieve a finer spatial granularity for the load reporting</w:t>
      </w:r>
      <w:r w:rsidR="000A4B5B">
        <w:t>.</w:t>
      </w:r>
      <w:r w:rsidR="00D378A5">
        <w:t xml:space="preserve"> This enhances the use cases for MLB</w:t>
      </w:r>
      <w:r w:rsidR="000A4B5B">
        <w:t xml:space="preserve"> to be also applied on sub-cell level.</w:t>
      </w:r>
      <w:r w:rsidR="00D378A5">
        <w:t xml:space="preserve"> For example</w:t>
      </w:r>
      <w:r w:rsidR="00094DFA">
        <w:t>,</w:t>
      </w:r>
      <w:r w:rsidR="00D378A5">
        <w:t xml:space="preserve"> it </w:t>
      </w:r>
      <w:r w:rsidR="000A4B5B">
        <w:t xml:space="preserve">would allow for </w:t>
      </w:r>
      <w:r w:rsidR="00D378A5">
        <w:t>identify</w:t>
      </w:r>
      <w:r w:rsidR="00094DFA">
        <w:t>ing</w:t>
      </w:r>
      <w:r w:rsidR="00D378A5">
        <w:t xml:space="preserve"> low loaded sub-cell areas of a neighbour cell while plain cell</w:t>
      </w:r>
      <w:r w:rsidR="00094DFA">
        <w:t>-</w:t>
      </w:r>
      <w:r w:rsidR="00D378A5">
        <w:t xml:space="preserve">based reporting </w:t>
      </w:r>
      <w:r w:rsidR="00094DFA">
        <w:t>identif</w:t>
      </w:r>
      <w:r w:rsidR="000A4B5B">
        <w:t xml:space="preserve">ies the cell as </w:t>
      </w:r>
      <w:r w:rsidR="00D378A5">
        <w:t>medium or even high load</w:t>
      </w:r>
      <w:r w:rsidR="00094DFA">
        <w:t>ed</w:t>
      </w:r>
      <w:r w:rsidR="00D378A5">
        <w:t>.</w:t>
      </w:r>
    </w:p>
    <w:p w14:paraId="739206A0" w14:textId="4B90D71A" w:rsidR="005E5CA2" w:rsidRDefault="000D2515" w:rsidP="00A209D6">
      <w:r>
        <w:t>Reporting l</w:t>
      </w:r>
      <w:r w:rsidR="006C7228">
        <w:t>oad related information per SSBs or SSB beam</w:t>
      </w:r>
      <w:r w:rsidR="005E5CA2">
        <w:t xml:space="preserve"> already implies a few </w:t>
      </w:r>
      <w:r w:rsidR="00FD7DFF">
        <w:t>aspects</w:t>
      </w:r>
      <w:r w:rsidR="005E5CA2">
        <w:t xml:space="preserve"> that are worth to </w:t>
      </w:r>
      <w:r w:rsidR="00084975">
        <w:t>discuss in more detail</w:t>
      </w:r>
      <w:r w:rsidR="005E5CA2">
        <w:t>:</w:t>
      </w:r>
    </w:p>
    <w:p w14:paraId="7A8895BB" w14:textId="24C4A6FE" w:rsidR="005C55C5" w:rsidRDefault="005E5CA2" w:rsidP="0032085D">
      <w:pPr>
        <w:pStyle w:val="ListParagraph"/>
        <w:numPr>
          <w:ilvl w:val="0"/>
          <w:numId w:val="8"/>
        </w:numPr>
      </w:pPr>
      <w:r>
        <w:t xml:space="preserve">Beam level load reporting is only reasonable if </w:t>
      </w:r>
      <w:r w:rsidR="0032085D">
        <w:t xml:space="preserve">a </w:t>
      </w:r>
      <w:r>
        <w:t xml:space="preserve">beam </w:t>
      </w:r>
      <w:r w:rsidR="005C55C5">
        <w:t>come</w:t>
      </w:r>
      <w:r w:rsidR="0032085D">
        <w:t>s</w:t>
      </w:r>
      <w:r w:rsidR="005C55C5">
        <w:t xml:space="preserve"> with </w:t>
      </w:r>
      <w:r w:rsidR="0032085D">
        <w:t>its</w:t>
      </w:r>
      <w:r w:rsidR="005C55C5">
        <w:t xml:space="preserve"> own resources. For example, if a single beam can utilize the resources of the complete cell then there’s no difference between load reporting on cell level and load reporting on beam level.</w:t>
      </w:r>
    </w:p>
    <w:p w14:paraId="608B0735" w14:textId="4784F53A" w:rsidR="00FD7DFF" w:rsidRDefault="005C55C5" w:rsidP="00756DF5">
      <w:pPr>
        <w:ind w:left="284"/>
      </w:pPr>
      <w:r w:rsidRPr="00084975">
        <w:rPr>
          <w:b/>
        </w:rPr>
        <w:t>Observation</w:t>
      </w:r>
      <w:r w:rsidR="00B26D31">
        <w:rPr>
          <w:b/>
        </w:rPr>
        <w:t xml:space="preserve"> 1</w:t>
      </w:r>
      <w:r>
        <w:t xml:space="preserve">: </w:t>
      </w:r>
      <w:r w:rsidR="00162890">
        <w:t>T</w:t>
      </w:r>
      <w:r w:rsidR="00835CBF">
        <w:t>he use of sub level - l</w:t>
      </w:r>
      <w:r>
        <w:t xml:space="preserve">oad reporting on sub-cell level is only </w:t>
      </w:r>
      <w:r w:rsidR="00FD7DFF">
        <w:t>meaningful</w:t>
      </w:r>
      <w:r>
        <w:t xml:space="preserve"> if the sub-cell level comes with its own resources.</w:t>
      </w:r>
      <w:r>
        <w:br/>
      </w:r>
    </w:p>
    <w:p w14:paraId="3DA07DFA" w14:textId="6FCE8B93" w:rsidR="00FD7DFF" w:rsidRDefault="00FD7DFF" w:rsidP="00756DF5">
      <w:pPr>
        <w:ind w:left="284"/>
      </w:pPr>
      <w:r>
        <w:t>A consequence of this is that load reporting signalling must be flexible enough to identify sub-cell level coming with its own resources.</w:t>
      </w:r>
    </w:p>
    <w:p w14:paraId="61CD83C1" w14:textId="6D38FB25" w:rsidR="00FD7DFF" w:rsidRDefault="00FD7DFF" w:rsidP="00756DF5">
      <w:pPr>
        <w:ind w:left="284"/>
      </w:pPr>
      <w:r w:rsidRPr="00FD7DFF">
        <w:rPr>
          <w:b/>
        </w:rPr>
        <w:t>Proposal</w:t>
      </w:r>
      <w:r w:rsidR="00B26D31">
        <w:rPr>
          <w:b/>
        </w:rPr>
        <w:t xml:space="preserve"> 1</w:t>
      </w:r>
      <w:r w:rsidRPr="00FD7DFF">
        <w:rPr>
          <w:b/>
        </w:rPr>
        <w:t>:</w:t>
      </w:r>
      <w:r>
        <w:t xml:space="preserve"> Load signalling per sub-cell level </w:t>
      </w:r>
      <w:r>
        <w:t>must be flexible enough to identify sub-cell level coming with its own resources</w:t>
      </w:r>
      <w:r>
        <w:t>.</w:t>
      </w:r>
    </w:p>
    <w:p w14:paraId="59FB7C43" w14:textId="6595C481" w:rsidR="00280DD9" w:rsidRDefault="0032085D" w:rsidP="00756DF5">
      <w:pPr>
        <w:ind w:left="284"/>
      </w:pPr>
      <w:r>
        <w:t>Load reporting per SSB or SSB beam implies that the</w:t>
      </w:r>
      <w:r w:rsidR="008E4696">
        <w:t xml:space="preserve"> </w:t>
      </w:r>
      <w:r w:rsidR="00280DD9">
        <w:t>transmitter ca</w:t>
      </w:r>
      <w:r w:rsidR="00756DF5">
        <w:t>n</w:t>
      </w:r>
      <w:r w:rsidR="00280DD9">
        <w:t xml:space="preserve"> associate the transmitted data to an SSB</w:t>
      </w:r>
      <w:r>
        <w:t xml:space="preserve">. However, what </w:t>
      </w:r>
      <w:r w:rsidR="009546E1">
        <w:t xml:space="preserve">so far was named as SSB or SSB beam is a reference signal identified by the SSB-Index </w:t>
      </w:r>
      <w:r w:rsidR="00631D78">
        <w:t xml:space="preserve">which can be measured by the </w:t>
      </w:r>
      <w:r w:rsidR="00D55E81">
        <w:t>UE</w:t>
      </w:r>
      <w:r w:rsidR="00280DD9">
        <w:t>.</w:t>
      </w:r>
    </w:p>
    <w:p w14:paraId="0DDFC84D" w14:textId="3E292DCF" w:rsidR="00D55E81" w:rsidRDefault="00D55E81" w:rsidP="00D55E81">
      <w:pPr>
        <w:ind w:left="284"/>
      </w:pPr>
      <w:r w:rsidRPr="00084975">
        <w:rPr>
          <w:b/>
        </w:rPr>
        <w:t>Observation</w:t>
      </w:r>
      <w:r w:rsidR="00B26D31">
        <w:rPr>
          <w:b/>
        </w:rPr>
        <w:t xml:space="preserve"> 2</w:t>
      </w:r>
      <w:r>
        <w:t xml:space="preserve">: </w:t>
      </w:r>
      <w:r w:rsidR="00631D78">
        <w:t>The beam</w:t>
      </w:r>
      <w:r w:rsidR="009546E1">
        <w:t xml:space="preserve"> which is </w:t>
      </w:r>
      <w:r w:rsidR="00631D78">
        <w:t xml:space="preserve">used for the UE’s data transfer is </w:t>
      </w:r>
      <w:r w:rsidR="009546E1">
        <w:t>freely decided at MAC l</w:t>
      </w:r>
      <w:r w:rsidR="00631D78">
        <w:t>ayer and its association to reference signals is not visible to higher layers</w:t>
      </w:r>
      <w:r w:rsidR="009546E1">
        <w:t>.</w:t>
      </w:r>
    </w:p>
    <w:p w14:paraId="7E52E83E" w14:textId="346F4D3C" w:rsidR="00047536" w:rsidRDefault="00480E17" w:rsidP="00B57877">
      <w:pPr>
        <w:ind w:left="284"/>
      </w:pPr>
      <w:r>
        <w:t>The list of SSB and SSB index</w:t>
      </w:r>
      <w:r w:rsidR="00CB0DB5">
        <w:t xml:space="preserve"> per </w:t>
      </w:r>
      <w:r w:rsidR="00FD7DFF">
        <w:t>c</w:t>
      </w:r>
      <w:r w:rsidR="00CB0DB5">
        <w:t>ell</w:t>
      </w:r>
      <w:r>
        <w:t xml:space="preserve"> is communicated over X2, </w:t>
      </w:r>
      <w:proofErr w:type="spellStart"/>
      <w:r>
        <w:t>Xn</w:t>
      </w:r>
      <w:proofErr w:type="spellEnd"/>
      <w:r>
        <w:t xml:space="preserve"> and F1 interface for the configuration of UE measurement mobility. This implies that the SSB and SSB index are relatively stable in time and do not require frequent update.</w:t>
      </w:r>
    </w:p>
    <w:p w14:paraId="0577C818" w14:textId="46A83228" w:rsidR="00A702BB" w:rsidRDefault="00FD7DFF" w:rsidP="00B57877">
      <w:pPr>
        <w:ind w:left="284"/>
      </w:pPr>
      <w:r>
        <w:rPr>
          <w:b/>
        </w:rPr>
        <w:t>Proposal</w:t>
      </w:r>
      <w:r w:rsidR="00B26D31">
        <w:rPr>
          <w:b/>
        </w:rPr>
        <w:t xml:space="preserve"> 2</w:t>
      </w:r>
      <w:r w:rsidR="00B57877">
        <w:t xml:space="preserve">: </w:t>
      </w:r>
      <w:r>
        <w:t xml:space="preserve">If SSB index is used for sub-cell level, </w:t>
      </w:r>
      <w:r w:rsidR="00A702BB">
        <w:t>RAN3 assumes that the SSB-Index is used statically/semi-statically.</w:t>
      </w:r>
    </w:p>
    <w:p w14:paraId="1887A7F0" w14:textId="512B2954" w:rsidR="00084975" w:rsidRPr="00DD28F2" w:rsidRDefault="00911001" w:rsidP="00911001">
      <w:pPr>
        <w:pStyle w:val="ListParagraph"/>
        <w:numPr>
          <w:ilvl w:val="0"/>
          <w:numId w:val="8"/>
        </w:numPr>
      </w:pPr>
      <w:r w:rsidRPr="00DD28F2">
        <w:t xml:space="preserve">For </w:t>
      </w:r>
      <w:r w:rsidR="009C64E8" w:rsidRPr="00DD28F2">
        <w:t xml:space="preserve">SSB-Index based load reporting </w:t>
      </w:r>
      <w:r w:rsidRPr="00DD28F2">
        <w:t xml:space="preserve">the gNB </w:t>
      </w:r>
      <w:r w:rsidR="00CB0DB5" w:rsidRPr="00DD28F2">
        <w:t xml:space="preserve">(more precisely DU if split architecture is implemented) </w:t>
      </w:r>
      <w:r w:rsidRPr="00DD28F2">
        <w:t>must</w:t>
      </w:r>
      <w:r w:rsidR="009C64E8" w:rsidRPr="00DD28F2">
        <w:t xml:space="preserve"> map all the actively used resources in a cell to SSB-Index. </w:t>
      </w:r>
      <w:r w:rsidR="002A4FA8" w:rsidRPr="00DD28F2">
        <w:t xml:space="preserve">This should be possible in an implementation specific manner. </w:t>
      </w:r>
      <w:r w:rsidR="006D1572" w:rsidRPr="00DD28F2">
        <w:t xml:space="preserve">For example, analysing the PDSCH TCI-State (Transmission Configuration Indication) that holds quasi co-location </w:t>
      </w:r>
      <w:r w:rsidR="006D1572" w:rsidRPr="00DD28F2">
        <w:lastRenderedPageBreak/>
        <w:t>information shows that for QCL TYPE-D (spatial quasi-co-location) of the PDSCH TCI-state, there is always a connection to SSB, th</w:t>
      </w:r>
      <w:r w:rsidR="7736FF8B" w:rsidRPr="00DD28F2">
        <w:t>r</w:t>
      </w:r>
      <w:r w:rsidR="006D1572" w:rsidRPr="00DD28F2">
        <w:t xml:space="preserve">ough TRS </w:t>
      </w:r>
      <w:r w:rsidR="00FA70CD" w:rsidRPr="00DD28F2">
        <w:t xml:space="preserve">(phase tracking reference signal) </w:t>
      </w:r>
      <w:r w:rsidR="006D1572" w:rsidRPr="00DD28F2">
        <w:t xml:space="preserve">or another </w:t>
      </w:r>
      <w:r w:rsidR="00FA70CD" w:rsidRPr="00DD28F2">
        <w:t>non zero power C</w:t>
      </w:r>
      <w:r w:rsidR="006D1572" w:rsidRPr="00DD28F2">
        <w:t>SI-RS.</w:t>
      </w:r>
    </w:p>
    <w:p w14:paraId="43FAD694" w14:textId="77777777" w:rsidR="00CB0DB5" w:rsidRPr="00DD28F2" w:rsidRDefault="00CB0DB5" w:rsidP="00CB0DB5">
      <w:pPr>
        <w:pStyle w:val="ListParagraph"/>
        <w:ind w:left="360"/>
      </w:pPr>
    </w:p>
    <w:p w14:paraId="3EB454AE" w14:textId="2A912157" w:rsidR="00162890" w:rsidRPr="003C12A9" w:rsidRDefault="00930495" w:rsidP="00756DF5">
      <w:pPr>
        <w:pStyle w:val="ListParagraph"/>
        <w:ind w:left="360"/>
      </w:pPr>
      <w:r w:rsidRPr="003C12A9">
        <w:t xml:space="preserve">The same </w:t>
      </w:r>
      <w:r>
        <w:t>kind of association could be done for UL.</w:t>
      </w:r>
    </w:p>
    <w:p w14:paraId="35F222F4" w14:textId="1A67D19C" w:rsidR="00080512" w:rsidRDefault="00B26D31" w:rsidP="00084975">
      <w:pPr>
        <w:ind w:left="284"/>
      </w:pPr>
      <w:r>
        <w:rPr>
          <w:b/>
        </w:rPr>
        <w:t>Proposal 3</w:t>
      </w:r>
      <w:r w:rsidR="00084975">
        <w:t xml:space="preserve">: </w:t>
      </w:r>
      <w:r>
        <w:t xml:space="preserve">RAN3 to </w:t>
      </w:r>
      <w:r w:rsidR="004E6EE2">
        <w:t>agree</w:t>
      </w:r>
      <w:r>
        <w:t xml:space="preserve"> that i</w:t>
      </w:r>
      <w:r w:rsidR="006D1572" w:rsidRPr="006D1572">
        <w:t>t is feasible for gNB to collect statistics</w:t>
      </w:r>
      <w:r w:rsidR="00B0411A">
        <w:t xml:space="preserve"> per cell and BWP</w:t>
      </w:r>
      <w:r w:rsidR="006D1572" w:rsidRPr="006D1572">
        <w:t xml:space="preserve"> for TCIs of scheduled PDSCH and assign those to </w:t>
      </w:r>
      <w:r w:rsidR="00FA70CD">
        <w:t xml:space="preserve">a </w:t>
      </w:r>
      <w:r w:rsidR="006D1572" w:rsidRPr="006D1572">
        <w:t>unique SSB</w:t>
      </w:r>
      <w:r w:rsidR="00FA70CD">
        <w:t>-Index</w:t>
      </w:r>
      <w:r w:rsidR="006D1572" w:rsidRPr="006D1572">
        <w:t>.</w:t>
      </w:r>
      <w:r w:rsidR="00FA70CD">
        <w:t xml:space="preserve"> </w:t>
      </w:r>
      <w:r w:rsidR="00911001">
        <w:t>According to a LS [2] from RAN1</w:t>
      </w:r>
      <w:r>
        <w:t>, RAN3</w:t>
      </w:r>
      <w:r w:rsidR="00911001">
        <w:t xml:space="preserve"> can assume that this also holds for CSI-RS based resources which </w:t>
      </w:r>
      <w:proofErr w:type="gramStart"/>
      <w:r w:rsidR="00911001">
        <w:t>were considered to be</w:t>
      </w:r>
      <w:proofErr w:type="gramEnd"/>
      <w:r w:rsidR="00911001">
        <w:t xml:space="preserve"> of semi-static nature, i.e. are not changed too frequently. </w:t>
      </w:r>
    </w:p>
    <w:p w14:paraId="0B1D55F1" w14:textId="77777777" w:rsidR="00A2693D" w:rsidRDefault="00A2693D" w:rsidP="00084975">
      <w:pPr>
        <w:ind w:left="284"/>
      </w:pPr>
    </w:p>
    <w:p w14:paraId="383033EC" w14:textId="567C2E1E" w:rsidR="00A2693D" w:rsidRDefault="00A2693D" w:rsidP="00A2693D">
      <w:pPr>
        <w:pStyle w:val="Heading2"/>
      </w:pPr>
      <w:r>
        <w:t>2.2</w:t>
      </w:r>
      <w:r>
        <w:tab/>
        <w:t>Resource of load measurement and maximum load</w:t>
      </w:r>
    </w:p>
    <w:p w14:paraId="406FD091" w14:textId="470B0AE2" w:rsidR="00280DD9" w:rsidRDefault="00162890" w:rsidP="00A2693D">
      <w:r>
        <w:t xml:space="preserve">The measurement of the traffic on a given beam, could be measured in term of PRB, but the configuration of PRB is not unique in NR, and it depends on the SCS (Sub Carrier Spacing). In the same Cell, different BWP can be configured with different SCS, so the meaning of PRB is not unique within one Cell. </w:t>
      </w:r>
    </w:p>
    <w:p w14:paraId="0DAD5958" w14:textId="2BDDE944" w:rsidR="00162890" w:rsidRDefault="00162890" w:rsidP="00A2693D">
      <w:r w:rsidRPr="00A2693D">
        <w:rPr>
          <w:b/>
        </w:rPr>
        <w:t>Observation</w:t>
      </w:r>
      <w:r w:rsidR="00B26D31">
        <w:rPr>
          <w:b/>
        </w:rPr>
        <w:t xml:space="preserve"> 3</w:t>
      </w:r>
      <w:r>
        <w:rPr>
          <w:b/>
        </w:rPr>
        <w:t xml:space="preserve">: </w:t>
      </w:r>
      <w:r>
        <w:t>It is not possible to use PRB as a measurement for the load in a Cell, or in a Beam.</w:t>
      </w:r>
    </w:p>
    <w:p w14:paraId="6101C44B" w14:textId="38067DB5" w:rsidR="00162890" w:rsidRDefault="00162890" w:rsidP="00A2693D">
      <w:r>
        <w:t>Thus, the load should be measure</w:t>
      </w:r>
      <w:r w:rsidR="00CD4AB6">
        <w:t>d</w:t>
      </w:r>
      <w:r>
        <w:t xml:space="preserve"> using another unit</w:t>
      </w:r>
      <w:r w:rsidR="003C12A9">
        <w:t>, like a relative unit as used for the generic Composite Available Capacity</w:t>
      </w:r>
      <w:r>
        <w:t xml:space="preserve">. </w:t>
      </w:r>
    </w:p>
    <w:p w14:paraId="7DCFD9D5" w14:textId="6C115A0C" w:rsidR="00191FED" w:rsidRPr="00162890" w:rsidRDefault="00AB7D2C" w:rsidP="00A2693D">
      <w:r>
        <w:t>I</w:t>
      </w:r>
      <w:r w:rsidR="004438C9">
        <w:t xml:space="preserve">f we want to </w:t>
      </w:r>
      <w:r w:rsidR="00191FED">
        <w:t xml:space="preserve">measure the load of a cell / beam, we need to compare the used load to the maximum load. This can be more difficult when the load is set per beam: the maximum load on a beam depends on the amount of time allocated to the beam. And in some case, it is possible </w:t>
      </w:r>
      <w:r w:rsidR="00B228C6">
        <w:t>that the Cell transmits simultaneously in two different beams or direction. Thus, the definition of the maximum load should be investigated.</w:t>
      </w:r>
    </w:p>
    <w:p w14:paraId="76EA3559" w14:textId="7F93661D" w:rsidR="00B228C6" w:rsidRDefault="00B26D31" w:rsidP="00A2693D">
      <w:r>
        <w:rPr>
          <w:b/>
        </w:rPr>
        <w:t>Proposal 4</w:t>
      </w:r>
      <w:r w:rsidR="00B228C6">
        <w:rPr>
          <w:b/>
        </w:rPr>
        <w:t xml:space="preserve">: </w:t>
      </w:r>
      <w:r w:rsidR="00A2693D">
        <w:t>T</w:t>
      </w:r>
      <w:r w:rsidR="00B228C6">
        <w:t>he definition of the maximum load should be investigated</w:t>
      </w:r>
      <w:r>
        <w:t xml:space="preserve"> </w:t>
      </w:r>
      <w:proofErr w:type="gramStart"/>
      <w:r>
        <w:t>taking into account</w:t>
      </w:r>
      <w:proofErr w:type="gramEnd"/>
      <w:r>
        <w:t xml:space="preserve"> time allocated to the beam</w:t>
      </w:r>
      <w:r w:rsidR="00B228C6">
        <w:t>.</w:t>
      </w:r>
    </w:p>
    <w:p w14:paraId="2B21B9F0" w14:textId="73442659" w:rsidR="00162890" w:rsidRDefault="00AB7D2C" w:rsidP="00AB7D2C">
      <w:r>
        <w:t>It should be also noted that the cells can have different configuration in the network: the number of SSB and their special configuration can differ, making the load per Beam comparison more challenging between cells.</w:t>
      </w:r>
    </w:p>
    <w:p w14:paraId="5535F69F" w14:textId="77777777" w:rsidR="00AB7D2C" w:rsidRDefault="00AB7D2C" w:rsidP="003C12A9"/>
    <w:p w14:paraId="3BA14326" w14:textId="6866C80B" w:rsidR="006E4AD9" w:rsidRDefault="006E4AD9" w:rsidP="006E4AD9">
      <w:pPr>
        <w:pStyle w:val="Heading2"/>
      </w:pPr>
      <w:r>
        <w:t>2.</w:t>
      </w:r>
      <w:r w:rsidR="00A2693D">
        <w:t>3</w:t>
      </w:r>
      <w:r>
        <w:tab/>
        <w:t>Load per direction</w:t>
      </w:r>
    </w:p>
    <w:p w14:paraId="705E82C2" w14:textId="05B374F6" w:rsidR="00280DD9" w:rsidRDefault="00280DD9" w:rsidP="00047536">
      <w:r>
        <w:t>For providing a fine sub-cell level spatial granularity for MLB reporting we could think of replacing the notion of ‘load per beam’ by the notion of ‘load per direction’. The mapping between load per beam to load per direction must be done by the MAC layer because this knowledge is not available at higher layers. The user data beams at MAC layer can still be changed and there is no need to reveal what beams are used in the MAC layer. For interoperability and for avoiding the need to exchange mapping information between the nodes the notion of ‘load per direction’ should be standardized.</w:t>
      </w:r>
    </w:p>
    <w:p w14:paraId="50DC958B" w14:textId="70B881A2" w:rsidR="00480E17" w:rsidRDefault="001B7D2B" w:rsidP="00047536">
      <w:r>
        <w:t>Load reports associated with the reference signal SSB-Index require some learning phase in the receiving node to know the direction of the reported load. This can be learned from the UE measurement reports of the served UEs. The direction of the reporting UEs is known by the serving node and so the direction of the reference signals measured by this UE. This requires that the SSB-Index is static/semi-static.</w:t>
      </w:r>
    </w:p>
    <w:p w14:paraId="0B69A6B0" w14:textId="327A534F" w:rsidR="00E002B2" w:rsidRDefault="00E002B2" w:rsidP="00047536">
      <w:r w:rsidRPr="00B34816">
        <w:rPr>
          <w:b/>
        </w:rPr>
        <w:t>Observation</w:t>
      </w:r>
      <w:r w:rsidR="00B26D31">
        <w:rPr>
          <w:b/>
        </w:rPr>
        <w:t xml:space="preserve"> 4</w:t>
      </w:r>
      <w:r>
        <w:t xml:space="preserve">: The spatial direction of received SSB-Index based load reports can be learned by the receiving node </w:t>
      </w:r>
      <w:r w:rsidR="00A33623">
        <w:t>by comparison</w:t>
      </w:r>
      <w:bookmarkStart w:id="0" w:name="_GoBack"/>
      <w:bookmarkEnd w:id="0"/>
      <w:r>
        <w:t xml:space="preserve"> with the SSB-Index of measurements from the served UEs.</w:t>
      </w:r>
    </w:p>
    <w:p w14:paraId="56663C25" w14:textId="1A9E8A51" w:rsidR="00E002B2" w:rsidRDefault="00E002B2" w:rsidP="00047536">
      <w:r>
        <w:t>Note that the identification of the UE direction could also be done when the Network uses refined beams (with CSI-RS). This would allow a finer granularity in UE direction indication.</w:t>
      </w:r>
    </w:p>
    <w:p w14:paraId="4706F03E" w14:textId="678F949D" w:rsidR="00480E17" w:rsidRDefault="00480E17" w:rsidP="00047536">
      <w:r w:rsidRPr="00CB0DB5">
        <w:rPr>
          <w:b/>
        </w:rPr>
        <w:t>Observation</w:t>
      </w:r>
      <w:r w:rsidR="00B26D31">
        <w:rPr>
          <w:b/>
        </w:rPr>
        <w:t xml:space="preserve"> 5</w:t>
      </w:r>
      <w:r>
        <w:t xml:space="preserve">: The </w:t>
      </w:r>
      <w:r w:rsidR="00FD7DFF">
        <w:t>spatial</w:t>
      </w:r>
      <w:r>
        <w:t xml:space="preserve"> resolution of SSB-Index based load reporting is coarse compared to load reporting that is based on a notion of ‘load per direction’ that can exploit more accurate MAC layer information</w:t>
      </w:r>
      <w:r w:rsidR="00E002B2">
        <w:t>.</w:t>
      </w:r>
    </w:p>
    <w:p w14:paraId="0A453EA7" w14:textId="2910DC9E" w:rsidR="00B26D31" w:rsidRDefault="00B26D31" w:rsidP="00047536">
      <w:r w:rsidRPr="00B26D31">
        <w:rPr>
          <w:b/>
        </w:rPr>
        <w:t>Proposal 5:</w:t>
      </w:r>
      <w:r>
        <w:t xml:space="preserve"> RAN3 to further investigate the possibility to report </w:t>
      </w:r>
      <w:r>
        <w:t>‘load per direction’ that can exploit more accurate MAC layer information</w:t>
      </w:r>
      <w:r>
        <w:t>.</w:t>
      </w:r>
    </w:p>
    <w:p w14:paraId="4A426661" w14:textId="77777777" w:rsidR="00280DD9" w:rsidRDefault="00280DD9" w:rsidP="00084975">
      <w:pPr>
        <w:ind w:left="284"/>
      </w:pPr>
    </w:p>
    <w:p w14:paraId="315E6E63" w14:textId="7445EE68" w:rsidR="00911001" w:rsidRPr="006E13D1" w:rsidRDefault="00911001" w:rsidP="00911001">
      <w:pPr>
        <w:pStyle w:val="Heading1"/>
      </w:pPr>
      <w:r>
        <w:lastRenderedPageBreak/>
        <w:t>3</w:t>
      </w:r>
      <w:r w:rsidRPr="006E13D1">
        <w:tab/>
      </w:r>
      <w:r>
        <w:t>Conclusion</w:t>
      </w:r>
    </w:p>
    <w:p w14:paraId="30495190" w14:textId="73F93154" w:rsidR="00FD7DFF" w:rsidRDefault="00FD7DFF" w:rsidP="00911001">
      <w:r>
        <w:t xml:space="preserve">We have made the following </w:t>
      </w:r>
      <w:r w:rsidR="00B26D31">
        <w:t>proposals for load reporting per SSB beam:</w:t>
      </w:r>
    </w:p>
    <w:p w14:paraId="4DE0712F" w14:textId="77777777" w:rsidR="001729E8" w:rsidRDefault="001729E8" w:rsidP="001729E8">
      <w:r>
        <w:rPr>
          <w:b/>
        </w:rPr>
        <w:t>Proposal 1:</w:t>
      </w:r>
      <w:r>
        <w:t xml:space="preserve"> Load signalling per sub-cell level must be flexible enough to identify sub-cell level coming with its own resources.</w:t>
      </w:r>
    </w:p>
    <w:p w14:paraId="02EED74D" w14:textId="77777777" w:rsidR="001729E8" w:rsidRDefault="001729E8" w:rsidP="001729E8">
      <w:r>
        <w:rPr>
          <w:b/>
        </w:rPr>
        <w:t>Proposal 2</w:t>
      </w:r>
      <w:r>
        <w:t>: If SSB index is used for sub-cell level, RAN3 assumes that the SSB-Index is used statically/semi-statically.</w:t>
      </w:r>
    </w:p>
    <w:p w14:paraId="456F6D8E" w14:textId="77777777" w:rsidR="001729E8" w:rsidRDefault="001729E8" w:rsidP="001729E8">
      <w:r>
        <w:rPr>
          <w:b/>
        </w:rPr>
        <w:t>Proposal 3</w:t>
      </w:r>
      <w:r>
        <w:t xml:space="preserve">: RAN3 to agree that it is feasible for gNB to collect statistics per cell and BWP for TCIs of scheduled PDSCH and assign those to a unique SSB-Index. According to a LS [2] from RAN1, RAN3 can assume that this also holds for CSI-RS based resources which </w:t>
      </w:r>
      <w:proofErr w:type="gramStart"/>
      <w:r>
        <w:t>were considered to be</w:t>
      </w:r>
      <w:proofErr w:type="gramEnd"/>
      <w:r>
        <w:t xml:space="preserve"> of semi-static nature, i.e. are not changed too frequently. </w:t>
      </w:r>
    </w:p>
    <w:p w14:paraId="39993494" w14:textId="77777777" w:rsidR="001729E8" w:rsidRDefault="001729E8" w:rsidP="001729E8">
      <w:r>
        <w:rPr>
          <w:b/>
        </w:rPr>
        <w:t xml:space="preserve">Proposal 4: </w:t>
      </w:r>
      <w:r>
        <w:t xml:space="preserve">The definition of the maximum load should be investigated </w:t>
      </w:r>
      <w:proofErr w:type="gramStart"/>
      <w:r>
        <w:t>taking into account</w:t>
      </w:r>
      <w:proofErr w:type="gramEnd"/>
      <w:r>
        <w:t xml:space="preserve"> time allocated to the beam.</w:t>
      </w:r>
    </w:p>
    <w:p w14:paraId="7140AF5A" w14:textId="77777777" w:rsidR="001729E8" w:rsidRDefault="001729E8" w:rsidP="001729E8">
      <w:r>
        <w:rPr>
          <w:b/>
        </w:rPr>
        <w:t>Proposal 5:</w:t>
      </w:r>
      <w:r>
        <w:t xml:space="preserve"> RAN3 to further investigate the possibility to report ‘load per direction’ that can exploit more accurate MAC layer information.</w:t>
      </w:r>
    </w:p>
    <w:p w14:paraId="297E336F" w14:textId="69880389" w:rsidR="00047536" w:rsidRDefault="00047536" w:rsidP="00911001"/>
    <w:p w14:paraId="21FC9349" w14:textId="0BC213CD" w:rsidR="00047536" w:rsidRDefault="00047536" w:rsidP="00047536">
      <w:pPr>
        <w:pStyle w:val="Heading1"/>
      </w:pPr>
      <w:r>
        <w:t>4</w:t>
      </w:r>
      <w:r w:rsidRPr="006E13D1">
        <w:tab/>
      </w:r>
      <w:r>
        <w:t>References</w:t>
      </w:r>
    </w:p>
    <w:p w14:paraId="2F7E54E6" w14:textId="5EA189D4" w:rsidR="00047536" w:rsidRDefault="00047536" w:rsidP="00047536">
      <w:r>
        <w:t>[1]</w:t>
      </w:r>
      <w:r>
        <w:tab/>
      </w:r>
      <w:r>
        <w:tab/>
      </w:r>
      <w:r w:rsidRPr="00047536">
        <w:t>3GPP TR 37.816</w:t>
      </w:r>
      <w:r>
        <w:t>, Study on RAN-centric data collection and utilization for LTE and NR (Release 16);</w:t>
      </w:r>
    </w:p>
    <w:p w14:paraId="5DC890A5" w14:textId="1FBF1E92" w:rsidR="00A91918" w:rsidRPr="00047536" w:rsidRDefault="00813B52" w:rsidP="00813B52">
      <w:r>
        <w:t>[2]</w:t>
      </w:r>
      <w:r>
        <w:tab/>
      </w:r>
      <w:r>
        <w:tab/>
      </w:r>
      <w:r w:rsidR="00A91918">
        <w:t>R3-193306</w:t>
      </w:r>
      <w:r w:rsidR="00A33623">
        <w:t xml:space="preserve">, </w:t>
      </w:r>
      <w:r>
        <w:t xml:space="preserve">Reply LS on CSI-RS configuration transfer over </w:t>
      </w:r>
      <w:proofErr w:type="spellStart"/>
      <w:r>
        <w:t>Xn</w:t>
      </w:r>
      <w:proofErr w:type="spellEnd"/>
      <w:r w:rsidR="00A33623">
        <w:t>,</w:t>
      </w:r>
      <w:r>
        <w:t xml:space="preserve"> RAN1</w:t>
      </w:r>
    </w:p>
    <w:sectPr w:rsidR="00A91918" w:rsidRPr="00047536" w:rsidSect="00E30D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2D72C" w14:textId="77777777" w:rsidR="00F37995" w:rsidRDefault="00F37995">
      <w:r>
        <w:separator/>
      </w:r>
    </w:p>
  </w:endnote>
  <w:endnote w:type="continuationSeparator" w:id="0">
    <w:p w14:paraId="2350E189" w14:textId="77777777" w:rsidR="00F37995" w:rsidRDefault="00F3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0AFE" w14:textId="77777777" w:rsidR="00F37995" w:rsidRDefault="00F37995">
      <w:r>
        <w:separator/>
      </w:r>
    </w:p>
  </w:footnote>
  <w:footnote w:type="continuationSeparator" w:id="0">
    <w:p w14:paraId="56C734C3" w14:textId="77777777" w:rsidR="00F37995" w:rsidRDefault="00F3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54BBE"/>
    <w:multiLevelType w:val="hybridMultilevel"/>
    <w:tmpl w:val="4BDE045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7536"/>
    <w:rsid w:val="00073C9C"/>
    <w:rsid w:val="00075352"/>
    <w:rsid w:val="00080512"/>
    <w:rsid w:val="00084975"/>
    <w:rsid w:val="00090468"/>
    <w:rsid w:val="00094568"/>
    <w:rsid w:val="00094DFA"/>
    <w:rsid w:val="000A4B5B"/>
    <w:rsid w:val="000A54EB"/>
    <w:rsid w:val="000B7BCF"/>
    <w:rsid w:val="000C522B"/>
    <w:rsid w:val="000D2515"/>
    <w:rsid w:val="000D58AB"/>
    <w:rsid w:val="00112F1A"/>
    <w:rsid w:val="00113574"/>
    <w:rsid w:val="0014033B"/>
    <w:rsid w:val="00145075"/>
    <w:rsid w:val="00162890"/>
    <w:rsid w:val="001729E8"/>
    <w:rsid w:val="001741A0"/>
    <w:rsid w:val="00175FA0"/>
    <w:rsid w:val="00191FED"/>
    <w:rsid w:val="00194CD0"/>
    <w:rsid w:val="001B49C9"/>
    <w:rsid w:val="001B7D2B"/>
    <w:rsid w:val="001C23F4"/>
    <w:rsid w:val="001C4F79"/>
    <w:rsid w:val="001F168B"/>
    <w:rsid w:val="001F7831"/>
    <w:rsid w:val="00204045"/>
    <w:rsid w:val="0020712B"/>
    <w:rsid w:val="0022606D"/>
    <w:rsid w:val="00231728"/>
    <w:rsid w:val="00242E7E"/>
    <w:rsid w:val="00250404"/>
    <w:rsid w:val="002610D8"/>
    <w:rsid w:val="002747EC"/>
    <w:rsid w:val="00280DD9"/>
    <w:rsid w:val="002855BF"/>
    <w:rsid w:val="002A15FB"/>
    <w:rsid w:val="002A4FA8"/>
    <w:rsid w:val="002F0D22"/>
    <w:rsid w:val="002F4C03"/>
    <w:rsid w:val="00302446"/>
    <w:rsid w:val="003172DC"/>
    <w:rsid w:val="0032085D"/>
    <w:rsid w:val="00325AE3"/>
    <w:rsid w:val="00326069"/>
    <w:rsid w:val="0035462D"/>
    <w:rsid w:val="00364B41"/>
    <w:rsid w:val="00383096"/>
    <w:rsid w:val="003A41EF"/>
    <w:rsid w:val="003B40AD"/>
    <w:rsid w:val="003C12A9"/>
    <w:rsid w:val="003C4E37"/>
    <w:rsid w:val="003E16BE"/>
    <w:rsid w:val="003F4E28"/>
    <w:rsid w:val="004006E8"/>
    <w:rsid w:val="00401855"/>
    <w:rsid w:val="00425389"/>
    <w:rsid w:val="004438C9"/>
    <w:rsid w:val="00446358"/>
    <w:rsid w:val="00465587"/>
    <w:rsid w:val="00477455"/>
    <w:rsid w:val="00480E17"/>
    <w:rsid w:val="004A1F7B"/>
    <w:rsid w:val="004C44D2"/>
    <w:rsid w:val="004D3578"/>
    <w:rsid w:val="004D380D"/>
    <w:rsid w:val="004E213A"/>
    <w:rsid w:val="004E6EE2"/>
    <w:rsid w:val="00503171"/>
    <w:rsid w:val="00506C28"/>
    <w:rsid w:val="00534DA0"/>
    <w:rsid w:val="00543E6C"/>
    <w:rsid w:val="00565087"/>
    <w:rsid w:val="0056573F"/>
    <w:rsid w:val="005C55C5"/>
    <w:rsid w:val="005E5CA2"/>
    <w:rsid w:val="005E5F42"/>
    <w:rsid w:val="00611566"/>
    <w:rsid w:val="00631D78"/>
    <w:rsid w:val="00646D99"/>
    <w:rsid w:val="00656910"/>
    <w:rsid w:val="006869F2"/>
    <w:rsid w:val="006C66D8"/>
    <w:rsid w:val="006C7228"/>
    <w:rsid w:val="006D1572"/>
    <w:rsid w:val="006D1E24"/>
    <w:rsid w:val="006E1417"/>
    <w:rsid w:val="006E1BDE"/>
    <w:rsid w:val="006E4AD9"/>
    <w:rsid w:val="006F27DC"/>
    <w:rsid w:val="006F6A2C"/>
    <w:rsid w:val="00704F94"/>
    <w:rsid w:val="007069DC"/>
    <w:rsid w:val="00710201"/>
    <w:rsid w:val="0072073A"/>
    <w:rsid w:val="007342B5"/>
    <w:rsid w:val="00734A5B"/>
    <w:rsid w:val="00744E76"/>
    <w:rsid w:val="00756DF5"/>
    <w:rsid w:val="00757D40"/>
    <w:rsid w:val="007817E2"/>
    <w:rsid w:val="00781F0F"/>
    <w:rsid w:val="0078727C"/>
    <w:rsid w:val="00787472"/>
    <w:rsid w:val="0079049D"/>
    <w:rsid w:val="00793DC5"/>
    <w:rsid w:val="007B0804"/>
    <w:rsid w:val="007B18D8"/>
    <w:rsid w:val="007C095F"/>
    <w:rsid w:val="007C2DD0"/>
    <w:rsid w:val="007F2E08"/>
    <w:rsid w:val="008028A4"/>
    <w:rsid w:val="00813245"/>
    <w:rsid w:val="00813B52"/>
    <w:rsid w:val="00835CBF"/>
    <w:rsid w:val="0086354A"/>
    <w:rsid w:val="008768CA"/>
    <w:rsid w:val="00877EF9"/>
    <w:rsid w:val="00880559"/>
    <w:rsid w:val="008B5306"/>
    <w:rsid w:val="008C3057"/>
    <w:rsid w:val="008D2E4D"/>
    <w:rsid w:val="008E4696"/>
    <w:rsid w:val="008F396F"/>
    <w:rsid w:val="0090271F"/>
    <w:rsid w:val="00902DB9"/>
    <w:rsid w:val="0090466A"/>
    <w:rsid w:val="00911001"/>
    <w:rsid w:val="00923655"/>
    <w:rsid w:val="00930495"/>
    <w:rsid w:val="00936071"/>
    <w:rsid w:val="00940212"/>
    <w:rsid w:val="00942EC2"/>
    <w:rsid w:val="009546E1"/>
    <w:rsid w:val="00961B32"/>
    <w:rsid w:val="00962509"/>
    <w:rsid w:val="00970DB3"/>
    <w:rsid w:val="00974BB0"/>
    <w:rsid w:val="00975BCD"/>
    <w:rsid w:val="00980960"/>
    <w:rsid w:val="009A0AF3"/>
    <w:rsid w:val="009B07CD"/>
    <w:rsid w:val="009C19E9"/>
    <w:rsid w:val="009C64E8"/>
    <w:rsid w:val="009D74A6"/>
    <w:rsid w:val="009E583F"/>
    <w:rsid w:val="00A10F02"/>
    <w:rsid w:val="00A204CA"/>
    <w:rsid w:val="00A209D6"/>
    <w:rsid w:val="00A2693D"/>
    <w:rsid w:val="00A33623"/>
    <w:rsid w:val="00A53724"/>
    <w:rsid w:val="00A54B2B"/>
    <w:rsid w:val="00A702BB"/>
    <w:rsid w:val="00A82346"/>
    <w:rsid w:val="00A91918"/>
    <w:rsid w:val="00A9671C"/>
    <w:rsid w:val="00AA1553"/>
    <w:rsid w:val="00AB1C38"/>
    <w:rsid w:val="00AB7D2C"/>
    <w:rsid w:val="00AC57A5"/>
    <w:rsid w:val="00B0411A"/>
    <w:rsid w:val="00B05380"/>
    <w:rsid w:val="00B05962"/>
    <w:rsid w:val="00B15449"/>
    <w:rsid w:val="00B16C2F"/>
    <w:rsid w:val="00B228C6"/>
    <w:rsid w:val="00B26D31"/>
    <w:rsid w:val="00B27303"/>
    <w:rsid w:val="00B47FD1"/>
    <w:rsid w:val="00B516BB"/>
    <w:rsid w:val="00B57877"/>
    <w:rsid w:val="00B63A68"/>
    <w:rsid w:val="00B84DB2"/>
    <w:rsid w:val="00B970C1"/>
    <w:rsid w:val="00BC3555"/>
    <w:rsid w:val="00BC56E1"/>
    <w:rsid w:val="00C12B51"/>
    <w:rsid w:val="00C24650"/>
    <w:rsid w:val="00C25465"/>
    <w:rsid w:val="00C33079"/>
    <w:rsid w:val="00C83A13"/>
    <w:rsid w:val="00C9068C"/>
    <w:rsid w:val="00C92967"/>
    <w:rsid w:val="00CA3D0C"/>
    <w:rsid w:val="00CA654B"/>
    <w:rsid w:val="00CB0DB5"/>
    <w:rsid w:val="00CB72B8"/>
    <w:rsid w:val="00CD4AB6"/>
    <w:rsid w:val="00CD4C7B"/>
    <w:rsid w:val="00D101D9"/>
    <w:rsid w:val="00D33BE3"/>
    <w:rsid w:val="00D378A5"/>
    <w:rsid w:val="00D3792D"/>
    <w:rsid w:val="00D55E47"/>
    <w:rsid w:val="00D55E81"/>
    <w:rsid w:val="00D62E19"/>
    <w:rsid w:val="00D67CD1"/>
    <w:rsid w:val="00D738D6"/>
    <w:rsid w:val="00D80795"/>
    <w:rsid w:val="00D851DE"/>
    <w:rsid w:val="00D854BE"/>
    <w:rsid w:val="00D87E00"/>
    <w:rsid w:val="00D9134D"/>
    <w:rsid w:val="00D96D11"/>
    <w:rsid w:val="00DA7A03"/>
    <w:rsid w:val="00DB0DB8"/>
    <w:rsid w:val="00DB1818"/>
    <w:rsid w:val="00DC309B"/>
    <w:rsid w:val="00DC4DA2"/>
    <w:rsid w:val="00DC5261"/>
    <w:rsid w:val="00DD28F2"/>
    <w:rsid w:val="00DE25D2"/>
    <w:rsid w:val="00DE6818"/>
    <w:rsid w:val="00E002B2"/>
    <w:rsid w:val="00E13AE7"/>
    <w:rsid w:val="00E30076"/>
    <w:rsid w:val="00E30DF1"/>
    <w:rsid w:val="00E46C08"/>
    <w:rsid w:val="00E471CF"/>
    <w:rsid w:val="00E62835"/>
    <w:rsid w:val="00E77645"/>
    <w:rsid w:val="00E83697"/>
    <w:rsid w:val="00EA5C62"/>
    <w:rsid w:val="00EA66C9"/>
    <w:rsid w:val="00EC4A25"/>
    <w:rsid w:val="00F025A2"/>
    <w:rsid w:val="00F036E9"/>
    <w:rsid w:val="00F07388"/>
    <w:rsid w:val="00F2026E"/>
    <w:rsid w:val="00F2210A"/>
    <w:rsid w:val="00F37743"/>
    <w:rsid w:val="00F37995"/>
    <w:rsid w:val="00F54A3D"/>
    <w:rsid w:val="00F54CB0"/>
    <w:rsid w:val="00F579CD"/>
    <w:rsid w:val="00F653B8"/>
    <w:rsid w:val="00F71B89"/>
    <w:rsid w:val="00F7353C"/>
    <w:rsid w:val="00F76F8F"/>
    <w:rsid w:val="00F941DF"/>
    <w:rsid w:val="00FA1266"/>
    <w:rsid w:val="00FA4AA7"/>
    <w:rsid w:val="00FA70CD"/>
    <w:rsid w:val="00FB36FA"/>
    <w:rsid w:val="00FB538E"/>
    <w:rsid w:val="00FC1192"/>
    <w:rsid w:val="00FC1565"/>
    <w:rsid w:val="00FC3092"/>
    <w:rsid w:val="00FD7DFF"/>
    <w:rsid w:val="00FE251B"/>
    <w:rsid w:val="150B81CE"/>
    <w:rsid w:val="7736FF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320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8601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86824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9667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207694">
      <w:bodyDiv w:val="1"/>
      <w:marLeft w:val="0"/>
      <w:marRight w:val="0"/>
      <w:marTop w:val="0"/>
      <w:marBottom w:val="0"/>
      <w:divBdr>
        <w:top w:val="none" w:sz="0" w:space="0" w:color="auto"/>
        <w:left w:val="none" w:sz="0" w:space="0" w:color="auto"/>
        <w:bottom w:val="none" w:sz="0" w:space="0" w:color="auto"/>
        <w:right w:val="none" w:sz="0" w:space="0" w:color="auto"/>
      </w:divBdr>
    </w:div>
    <w:div w:id="198843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5AIRPNAIUNRU-1083777305-620</_dlc_DocId>
    <_dlc_DocIdUrl xmlns="71c5aaf6-e6ce-465b-b873-5148d2a4c105">
      <Url>https://nokia.sharepoint.com/sites/c5g/projects/flexiaccess/_layouts/15/DocIdRedir.aspx?ID=5AIRPNAIUNRU-1083777305-620</Url>
      <Description>5AIRPNAIUNRU-1083777305-620</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755A390F-7132-4CBE-9B6E-439B77FD4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47</TotalTime>
  <Pages>3</Pages>
  <Words>1188</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Waldhauser, Richard (Nokia - DE/Munich)</dc:creator>
  <cp:lastModifiedBy>Nokia</cp:lastModifiedBy>
  <cp:revision>19</cp:revision>
  <dcterms:created xsi:type="dcterms:W3CDTF">2019-09-30T11:36:00Z</dcterms:created>
  <dcterms:modified xsi:type="dcterms:W3CDTF">2019-10-05T05:40:00Z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6fa4bbea-b2ff-4185-885e-9d34fbab8e25</vt:lpwstr>
  </property>
</Properties>
</file>